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EE9" w:rsidRDefault="00562EE9" w:rsidP="00562EE9">
      <w:pPr>
        <w:pStyle w:val="Default"/>
      </w:pPr>
    </w:p>
    <w:p w:rsidR="00562EE9" w:rsidRPr="00562EE9" w:rsidRDefault="00562EE9" w:rsidP="00562EE9">
      <w:pPr>
        <w:pStyle w:val="Default"/>
        <w:jc w:val="center"/>
        <w:rPr>
          <w:sz w:val="28"/>
          <w:szCs w:val="22"/>
          <w:u w:val="single"/>
        </w:rPr>
      </w:pPr>
      <w:r w:rsidRPr="00562EE9">
        <w:rPr>
          <w:b/>
          <w:bCs/>
          <w:sz w:val="28"/>
          <w:szCs w:val="22"/>
          <w:u w:val="single"/>
        </w:rPr>
        <w:t>Título del curso: CLASIFICADOR DE MADERA ESTRUCTURAL</w:t>
      </w:r>
    </w:p>
    <w:p w:rsidR="00562EE9" w:rsidRDefault="00562EE9" w:rsidP="00562EE9">
      <w:pPr>
        <w:pStyle w:val="Default"/>
        <w:rPr>
          <w:sz w:val="22"/>
          <w:szCs w:val="22"/>
        </w:rPr>
      </w:pPr>
      <w:r>
        <w:rPr>
          <w:b/>
          <w:bCs/>
          <w:sz w:val="22"/>
          <w:szCs w:val="22"/>
        </w:rPr>
        <w:t xml:space="preserve">Lugar de dictado: </w:t>
      </w:r>
      <w:r>
        <w:rPr>
          <w:sz w:val="22"/>
          <w:szCs w:val="22"/>
        </w:rPr>
        <w:t xml:space="preserve">Carpinterías industriales y aserraderos </w:t>
      </w:r>
    </w:p>
    <w:p w:rsidR="00562EE9" w:rsidRDefault="00562EE9" w:rsidP="00562EE9">
      <w:pPr>
        <w:pStyle w:val="Default"/>
        <w:rPr>
          <w:sz w:val="22"/>
          <w:szCs w:val="22"/>
        </w:rPr>
      </w:pPr>
      <w:r>
        <w:rPr>
          <w:b/>
          <w:bCs/>
          <w:sz w:val="22"/>
          <w:szCs w:val="22"/>
        </w:rPr>
        <w:t xml:space="preserve">Objetivo: </w:t>
      </w:r>
      <w:r>
        <w:rPr>
          <w:sz w:val="22"/>
          <w:szCs w:val="22"/>
        </w:rPr>
        <w:t xml:space="preserve">Clasificar la madera para uso estructural, de acuerdo a criterios de calidad, utilizando instrumentos de medición estandarizados, respetando los lineamientos y normativa vigente, resguardando la seguridad de equipos, personas y ambiente. </w:t>
      </w:r>
    </w:p>
    <w:p w:rsidR="00562EE9" w:rsidRDefault="00562EE9" w:rsidP="00562EE9">
      <w:pPr>
        <w:pStyle w:val="Default"/>
        <w:rPr>
          <w:sz w:val="22"/>
          <w:szCs w:val="22"/>
        </w:rPr>
      </w:pPr>
      <w:r>
        <w:rPr>
          <w:b/>
          <w:bCs/>
          <w:sz w:val="22"/>
          <w:szCs w:val="22"/>
        </w:rPr>
        <w:t xml:space="preserve">Metodología del Trabajo: </w:t>
      </w:r>
    </w:p>
    <w:p w:rsidR="00562EE9" w:rsidRDefault="00562EE9" w:rsidP="00562EE9">
      <w:pPr>
        <w:pStyle w:val="Default"/>
        <w:rPr>
          <w:sz w:val="22"/>
          <w:szCs w:val="22"/>
        </w:rPr>
      </w:pPr>
      <w:r>
        <w:rPr>
          <w:b/>
          <w:bCs/>
          <w:sz w:val="22"/>
          <w:szCs w:val="22"/>
        </w:rPr>
        <w:t xml:space="preserve">I- Encuadre didáctico: </w:t>
      </w:r>
    </w:p>
    <w:p w:rsidR="00562EE9" w:rsidRDefault="00562EE9" w:rsidP="00562EE9">
      <w:pPr>
        <w:pStyle w:val="Default"/>
        <w:rPr>
          <w:sz w:val="22"/>
          <w:szCs w:val="22"/>
        </w:rPr>
      </w:pPr>
    </w:p>
    <w:p w:rsidR="00562EE9" w:rsidRDefault="00562EE9" w:rsidP="00562EE9">
      <w:pPr>
        <w:pStyle w:val="Default"/>
        <w:rPr>
          <w:sz w:val="22"/>
          <w:szCs w:val="22"/>
        </w:rPr>
      </w:pPr>
      <w:r>
        <w:rPr>
          <w:sz w:val="22"/>
          <w:szCs w:val="22"/>
        </w:rPr>
        <w:t xml:space="preserve">El curso consta de 4 módulos teórico-prácticos por un total de 10 </w:t>
      </w:r>
      <w:proofErr w:type="spellStart"/>
      <w:r>
        <w:rPr>
          <w:sz w:val="22"/>
          <w:szCs w:val="22"/>
        </w:rPr>
        <w:t>hs</w:t>
      </w:r>
      <w:proofErr w:type="spellEnd"/>
      <w:r>
        <w:rPr>
          <w:sz w:val="22"/>
          <w:szCs w:val="22"/>
        </w:rPr>
        <w:t xml:space="preserve">. Los mismos se adecúan a lo establecido en la Norma para trabajadores en Construcción con Madera que se ha elaborado recientemente en el programa del Ministerio de Trabajo para el rol de </w:t>
      </w:r>
      <w:r>
        <w:rPr>
          <w:i/>
          <w:iCs/>
          <w:sz w:val="22"/>
          <w:szCs w:val="22"/>
        </w:rPr>
        <w:t xml:space="preserve">Clasificador de madera estructural. </w:t>
      </w:r>
    </w:p>
    <w:p w:rsidR="00562EE9" w:rsidRDefault="00562EE9" w:rsidP="00562EE9">
      <w:pPr>
        <w:pStyle w:val="Default"/>
        <w:rPr>
          <w:sz w:val="22"/>
          <w:szCs w:val="22"/>
        </w:rPr>
      </w:pPr>
      <w:r>
        <w:rPr>
          <w:sz w:val="22"/>
          <w:szCs w:val="22"/>
        </w:rPr>
        <w:t xml:space="preserve">La metodología didáctica basada en el enfoque de competencias articula la formación profesional y las demandas del mundo del trabajo como punto de partida para el desempeño del rol. El objetivo del curso es que el participante desarrolle las capacidades para realizar bien la actividad del rol. </w:t>
      </w:r>
    </w:p>
    <w:p w:rsidR="00562EE9" w:rsidRDefault="00562EE9" w:rsidP="00562EE9">
      <w:pPr>
        <w:pStyle w:val="Default"/>
        <w:rPr>
          <w:sz w:val="22"/>
          <w:szCs w:val="22"/>
        </w:rPr>
      </w:pPr>
      <w:r>
        <w:rPr>
          <w:sz w:val="22"/>
          <w:szCs w:val="22"/>
        </w:rPr>
        <w:t xml:space="preserve">En el diseño curricular se desarrollarán los contenidos a través de actividades formativas. Se propondrá la INTEGRACION teoría-practica: el contenido será una herramienta al servicio del desarrollo de la competencia. </w:t>
      </w:r>
    </w:p>
    <w:p w:rsidR="00562EE9" w:rsidRDefault="00562EE9" w:rsidP="00562EE9">
      <w:pPr>
        <w:pStyle w:val="Default"/>
        <w:rPr>
          <w:sz w:val="22"/>
          <w:szCs w:val="22"/>
        </w:rPr>
      </w:pPr>
      <w:r>
        <w:rPr>
          <w:sz w:val="22"/>
          <w:szCs w:val="22"/>
        </w:rPr>
        <w:t xml:space="preserve">Se preverán instancias de evaluación integrada con la enseñanza: será un proceso sistemático de recogida de información y de valoración, en función de los criterios previamente determinados. </w:t>
      </w:r>
    </w:p>
    <w:p w:rsidR="00562EE9" w:rsidRDefault="00562EE9" w:rsidP="00562EE9">
      <w:pPr>
        <w:pStyle w:val="Default"/>
        <w:rPr>
          <w:sz w:val="22"/>
          <w:szCs w:val="22"/>
        </w:rPr>
      </w:pPr>
      <w:r>
        <w:rPr>
          <w:sz w:val="22"/>
          <w:szCs w:val="22"/>
        </w:rPr>
        <w:t xml:space="preserve">Las personas formadas en este curso –luego de una breve experiencia- deberían poder evaluarse y obtener una credencial que lo acredite como competente en el oficio. </w:t>
      </w:r>
    </w:p>
    <w:p w:rsidR="00562EE9" w:rsidRDefault="00562EE9" w:rsidP="00562EE9">
      <w:pPr>
        <w:pStyle w:val="Default"/>
        <w:rPr>
          <w:sz w:val="22"/>
          <w:szCs w:val="22"/>
        </w:rPr>
      </w:pPr>
    </w:p>
    <w:p w:rsidR="00562EE9" w:rsidRDefault="00562EE9" w:rsidP="00562EE9">
      <w:pPr>
        <w:pStyle w:val="Default"/>
        <w:rPr>
          <w:sz w:val="22"/>
          <w:szCs w:val="22"/>
        </w:rPr>
      </w:pPr>
      <w:r>
        <w:rPr>
          <w:b/>
          <w:bCs/>
          <w:sz w:val="22"/>
          <w:szCs w:val="22"/>
        </w:rPr>
        <w:t xml:space="preserve">II- Duración de la capacitación: </w:t>
      </w:r>
    </w:p>
    <w:p w:rsidR="00562EE9" w:rsidRDefault="00562EE9" w:rsidP="00562EE9">
      <w:pPr>
        <w:pStyle w:val="Default"/>
        <w:rPr>
          <w:sz w:val="22"/>
          <w:szCs w:val="22"/>
        </w:rPr>
      </w:pPr>
    </w:p>
    <w:p w:rsidR="00562EE9" w:rsidRDefault="00562EE9" w:rsidP="00562EE9">
      <w:pPr>
        <w:pStyle w:val="Default"/>
        <w:rPr>
          <w:sz w:val="22"/>
          <w:szCs w:val="22"/>
        </w:rPr>
      </w:pPr>
      <w:r>
        <w:rPr>
          <w:sz w:val="22"/>
          <w:szCs w:val="22"/>
        </w:rPr>
        <w:t xml:space="preserve">10 (diez) horas. </w:t>
      </w:r>
    </w:p>
    <w:p w:rsidR="00562EE9" w:rsidRDefault="00562EE9" w:rsidP="00562EE9">
      <w:pPr>
        <w:pStyle w:val="Default"/>
        <w:rPr>
          <w:sz w:val="22"/>
          <w:szCs w:val="22"/>
        </w:rPr>
      </w:pPr>
      <w:r>
        <w:rPr>
          <w:sz w:val="22"/>
          <w:szCs w:val="22"/>
        </w:rPr>
        <w:t xml:space="preserve">Frecuencia: dos jornadas presenciales de 5hs cada una. </w:t>
      </w:r>
    </w:p>
    <w:p w:rsidR="00562EE9" w:rsidRDefault="00562EE9" w:rsidP="00562EE9">
      <w:pPr>
        <w:pStyle w:val="Default"/>
        <w:rPr>
          <w:sz w:val="22"/>
          <w:szCs w:val="22"/>
        </w:rPr>
      </w:pPr>
      <w:bookmarkStart w:id="0" w:name="_GoBack"/>
      <w:bookmarkEnd w:id="0"/>
    </w:p>
    <w:p w:rsidR="00562EE9" w:rsidRDefault="00562EE9" w:rsidP="00562EE9">
      <w:pPr>
        <w:pStyle w:val="Default"/>
        <w:rPr>
          <w:sz w:val="22"/>
          <w:szCs w:val="22"/>
        </w:rPr>
      </w:pPr>
      <w:r>
        <w:rPr>
          <w:b/>
          <w:bCs/>
          <w:sz w:val="22"/>
          <w:szCs w:val="22"/>
        </w:rPr>
        <w:t xml:space="preserve">III- Módulos y carga horaria: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496"/>
        <w:gridCol w:w="2496"/>
        <w:gridCol w:w="2496"/>
      </w:tblGrid>
      <w:tr w:rsidR="00562EE9">
        <w:tblPrEx>
          <w:tblCellMar>
            <w:top w:w="0" w:type="dxa"/>
            <w:bottom w:w="0" w:type="dxa"/>
          </w:tblCellMar>
        </w:tblPrEx>
        <w:trPr>
          <w:trHeight w:val="103"/>
        </w:trPr>
        <w:tc>
          <w:tcPr>
            <w:tcW w:w="2496" w:type="dxa"/>
          </w:tcPr>
          <w:p w:rsidR="00562EE9" w:rsidRDefault="00562EE9">
            <w:pPr>
              <w:pStyle w:val="Default"/>
              <w:rPr>
                <w:rFonts w:ascii="Arial" w:hAnsi="Arial" w:cs="Arial"/>
                <w:sz w:val="22"/>
                <w:szCs w:val="22"/>
              </w:rPr>
            </w:pPr>
            <w:r>
              <w:rPr>
                <w:rFonts w:ascii="Arial" w:hAnsi="Arial" w:cs="Arial"/>
                <w:i/>
                <w:iCs/>
                <w:sz w:val="22"/>
                <w:szCs w:val="22"/>
              </w:rPr>
              <w:t xml:space="preserve">Módulos </w:t>
            </w:r>
          </w:p>
        </w:tc>
        <w:tc>
          <w:tcPr>
            <w:tcW w:w="2496" w:type="dxa"/>
          </w:tcPr>
          <w:p w:rsidR="00562EE9" w:rsidRDefault="00562EE9">
            <w:pPr>
              <w:pStyle w:val="Default"/>
              <w:rPr>
                <w:sz w:val="22"/>
                <w:szCs w:val="22"/>
              </w:rPr>
            </w:pPr>
            <w:r>
              <w:rPr>
                <w:rFonts w:ascii="Arial" w:hAnsi="Arial" w:cs="Arial"/>
                <w:i/>
                <w:iCs/>
                <w:sz w:val="22"/>
                <w:szCs w:val="22"/>
              </w:rPr>
              <w:t xml:space="preserve">Título del Módulo </w:t>
            </w:r>
          </w:p>
        </w:tc>
        <w:tc>
          <w:tcPr>
            <w:tcW w:w="2496" w:type="dxa"/>
          </w:tcPr>
          <w:p w:rsidR="00562EE9" w:rsidRDefault="00562EE9">
            <w:pPr>
              <w:pStyle w:val="Default"/>
              <w:rPr>
                <w:rFonts w:ascii="Arial" w:hAnsi="Arial" w:cs="Arial"/>
                <w:sz w:val="22"/>
                <w:szCs w:val="22"/>
              </w:rPr>
            </w:pPr>
            <w:r>
              <w:rPr>
                <w:rFonts w:ascii="Arial" w:hAnsi="Arial" w:cs="Arial"/>
                <w:i/>
                <w:iCs/>
                <w:sz w:val="22"/>
                <w:szCs w:val="22"/>
              </w:rPr>
              <w:t xml:space="preserve">Carga Horaria </w:t>
            </w:r>
          </w:p>
        </w:tc>
      </w:tr>
      <w:tr w:rsidR="00562EE9">
        <w:tblPrEx>
          <w:tblCellMar>
            <w:top w:w="0" w:type="dxa"/>
            <w:bottom w:w="0" w:type="dxa"/>
          </w:tblCellMar>
        </w:tblPrEx>
        <w:trPr>
          <w:trHeight w:val="103"/>
        </w:trPr>
        <w:tc>
          <w:tcPr>
            <w:tcW w:w="2496" w:type="dxa"/>
          </w:tcPr>
          <w:p w:rsidR="00562EE9" w:rsidRDefault="00562EE9">
            <w:pPr>
              <w:pStyle w:val="Default"/>
              <w:rPr>
                <w:rFonts w:ascii="Arial" w:hAnsi="Arial" w:cs="Arial"/>
                <w:sz w:val="22"/>
                <w:szCs w:val="22"/>
              </w:rPr>
            </w:pPr>
            <w:r>
              <w:rPr>
                <w:rFonts w:ascii="Arial" w:hAnsi="Arial" w:cs="Arial"/>
                <w:sz w:val="22"/>
                <w:szCs w:val="22"/>
              </w:rPr>
              <w:t xml:space="preserve">Módulo I </w:t>
            </w:r>
          </w:p>
        </w:tc>
        <w:tc>
          <w:tcPr>
            <w:tcW w:w="2496" w:type="dxa"/>
          </w:tcPr>
          <w:p w:rsidR="00562EE9" w:rsidRDefault="00562EE9">
            <w:pPr>
              <w:pStyle w:val="Default"/>
              <w:rPr>
                <w:rFonts w:ascii="Arial" w:hAnsi="Arial" w:cs="Arial"/>
                <w:sz w:val="22"/>
                <w:szCs w:val="22"/>
              </w:rPr>
            </w:pPr>
            <w:r>
              <w:rPr>
                <w:rFonts w:ascii="Arial" w:hAnsi="Arial" w:cs="Arial"/>
                <w:sz w:val="22"/>
                <w:szCs w:val="22"/>
              </w:rPr>
              <w:t xml:space="preserve">Introducción al rol. </w:t>
            </w:r>
          </w:p>
        </w:tc>
        <w:tc>
          <w:tcPr>
            <w:tcW w:w="2496" w:type="dxa"/>
          </w:tcPr>
          <w:p w:rsidR="00562EE9" w:rsidRDefault="00562EE9">
            <w:pPr>
              <w:pStyle w:val="Default"/>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hs</w:t>
            </w:r>
            <w:proofErr w:type="spellEnd"/>
            <w:r>
              <w:rPr>
                <w:rFonts w:ascii="Arial" w:hAnsi="Arial" w:cs="Arial"/>
                <w:sz w:val="22"/>
                <w:szCs w:val="22"/>
              </w:rPr>
              <w:t xml:space="preserve">. </w:t>
            </w:r>
          </w:p>
        </w:tc>
      </w:tr>
      <w:tr w:rsidR="00562EE9">
        <w:tblPrEx>
          <w:tblCellMar>
            <w:top w:w="0" w:type="dxa"/>
            <w:bottom w:w="0" w:type="dxa"/>
          </w:tblCellMar>
        </w:tblPrEx>
        <w:trPr>
          <w:trHeight w:val="248"/>
        </w:trPr>
        <w:tc>
          <w:tcPr>
            <w:tcW w:w="2496" w:type="dxa"/>
          </w:tcPr>
          <w:p w:rsidR="00562EE9" w:rsidRDefault="00562EE9">
            <w:pPr>
              <w:pStyle w:val="Default"/>
              <w:rPr>
                <w:rFonts w:ascii="Arial" w:hAnsi="Arial" w:cs="Arial"/>
                <w:sz w:val="22"/>
                <w:szCs w:val="22"/>
              </w:rPr>
            </w:pPr>
            <w:r>
              <w:rPr>
                <w:rFonts w:ascii="Arial" w:hAnsi="Arial" w:cs="Arial"/>
                <w:sz w:val="22"/>
                <w:szCs w:val="22"/>
              </w:rPr>
              <w:t xml:space="preserve">Módulo II </w:t>
            </w:r>
          </w:p>
        </w:tc>
        <w:tc>
          <w:tcPr>
            <w:tcW w:w="2496" w:type="dxa"/>
          </w:tcPr>
          <w:p w:rsidR="00562EE9" w:rsidRDefault="00562EE9">
            <w:pPr>
              <w:pStyle w:val="Default"/>
              <w:rPr>
                <w:sz w:val="22"/>
                <w:szCs w:val="22"/>
              </w:rPr>
            </w:pPr>
            <w:r>
              <w:rPr>
                <w:rFonts w:ascii="Arial" w:hAnsi="Arial" w:cs="Arial"/>
                <w:sz w:val="22"/>
                <w:szCs w:val="22"/>
              </w:rPr>
              <w:t xml:space="preserve">Seguridad Práctica y primeros auxilios. </w:t>
            </w:r>
          </w:p>
        </w:tc>
        <w:tc>
          <w:tcPr>
            <w:tcW w:w="2496" w:type="dxa"/>
          </w:tcPr>
          <w:p w:rsidR="00562EE9" w:rsidRDefault="00562EE9">
            <w:pPr>
              <w:pStyle w:val="Default"/>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hs</w:t>
            </w:r>
            <w:proofErr w:type="spellEnd"/>
            <w:r>
              <w:rPr>
                <w:rFonts w:ascii="Arial" w:hAnsi="Arial" w:cs="Arial"/>
                <w:sz w:val="22"/>
                <w:szCs w:val="22"/>
              </w:rPr>
              <w:t xml:space="preserve">. </w:t>
            </w:r>
          </w:p>
        </w:tc>
      </w:tr>
      <w:tr w:rsidR="00562EE9">
        <w:tblPrEx>
          <w:tblCellMar>
            <w:top w:w="0" w:type="dxa"/>
            <w:bottom w:w="0" w:type="dxa"/>
          </w:tblCellMar>
        </w:tblPrEx>
        <w:trPr>
          <w:trHeight w:val="248"/>
        </w:trPr>
        <w:tc>
          <w:tcPr>
            <w:tcW w:w="2496" w:type="dxa"/>
          </w:tcPr>
          <w:p w:rsidR="00562EE9" w:rsidRDefault="00562EE9">
            <w:pPr>
              <w:pStyle w:val="Default"/>
              <w:rPr>
                <w:rFonts w:ascii="Arial" w:hAnsi="Arial" w:cs="Arial"/>
                <w:sz w:val="22"/>
                <w:szCs w:val="22"/>
              </w:rPr>
            </w:pPr>
            <w:r>
              <w:rPr>
                <w:rFonts w:ascii="Arial" w:hAnsi="Arial" w:cs="Arial"/>
                <w:sz w:val="22"/>
                <w:szCs w:val="22"/>
              </w:rPr>
              <w:t xml:space="preserve">Módulo III </w:t>
            </w:r>
          </w:p>
        </w:tc>
        <w:tc>
          <w:tcPr>
            <w:tcW w:w="2496" w:type="dxa"/>
          </w:tcPr>
          <w:p w:rsidR="00562EE9" w:rsidRDefault="00562EE9">
            <w:pPr>
              <w:pStyle w:val="Default"/>
              <w:rPr>
                <w:sz w:val="22"/>
                <w:szCs w:val="22"/>
              </w:rPr>
            </w:pPr>
            <w:r>
              <w:rPr>
                <w:rFonts w:ascii="Arial" w:hAnsi="Arial" w:cs="Arial"/>
                <w:sz w:val="22"/>
                <w:szCs w:val="22"/>
              </w:rPr>
              <w:t xml:space="preserve">Organización del espacio de trabajo y preparación de herramientas. </w:t>
            </w:r>
          </w:p>
        </w:tc>
        <w:tc>
          <w:tcPr>
            <w:tcW w:w="2496" w:type="dxa"/>
          </w:tcPr>
          <w:p w:rsidR="00562EE9" w:rsidRDefault="00562EE9">
            <w:pPr>
              <w:pStyle w:val="Default"/>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hs</w:t>
            </w:r>
            <w:proofErr w:type="spellEnd"/>
            <w:r>
              <w:rPr>
                <w:rFonts w:ascii="Arial" w:hAnsi="Arial" w:cs="Arial"/>
                <w:sz w:val="22"/>
                <w:szCs w:val="22"/>
              </w:rPr>
              <w:t xml:space="preserve">. </w:t>
            </w:r>
          </w:p>
        </w:tc>
      </w:tr>
      <w:tr w:rsidR="00562EE9">
        <w:tblPrEx>
          <w:tblCellMar>
            <w:top w:w="0" w:type="dxa"/>
            <w:bottom w:w="0" w:type="dxa"/>
          </w:tblCellMar>
        </w:tblPrEx>
        <w:trPr>
          <w:trHeight w:val="103"/>
        </w:trPr>
        <w:tc>
          <w:tcPr>
            <w:tcW w:w="2496" w:type="dxa"/>
          </w:tcPr>
          <w:p w:rsidR="00562EE9" w:rsidRDefault="00562EE9">
            <w:pPr>
              <w:pStyle w:val="Default"/>
              <w:rPr>
                <w:rFonts w:ascii="Arial" w:hAnsi="Arial" w:cs="Arial"/>
                <w:sz w:val="22"/>
                <w:szCs w:val="22"/>
              </w:rPr>
            </w:pPr>
            <w:r>
              <w:rPr>
                <w:rFonts w:ascii="Arial" w:hAnsi="Arial" w:cs="Arial"/>
                <w:sz w:val="22"/>
                <w:szCs w:val="22"/>
              </w:rPr>
              <w:t xml:space="preserve">Módulo IV </w:t>
            </w:r>
          </w:p>
        </w:tc>
        <w:tc>
          <w:tcPr>
            <w:tcW w:w="2496" w:type="dxa"/>
          </w:tcPr>
          <w:p w:rsidR="00562EE9" w:rsidRDefault="00562EE9">
            <w:pPr>
              <w:pStyle w:val="Default"/>
              <w:rPr>
                <w:sz w:val="22"/>
                <w:szCs w:val="22"/>
              </w:rPr>
            </w:pPr>
            <w:r>
              <w:rPr>
                <w:rFonts w:ascii="Arial" w:hAnsi="Arial" w:cs="Arial"/>
                <w:sz w:val="22"/>
                <w:szCs w:val="22"/>
              </w:rPr>
              <w:t xml:space="preserve">Clasificación visual bajo normativa </w:t>
            </w:r>
          </w:p>
        </w:tc>
        <w:tc>
          <w:tcPr>
            <w:tcW w:w="2496" w:type="dxa"/>
          </w:tcPr>
          <w:p w:rsidR="00562EE9" w:rsidRDefault="00562EE9">
            <w:pPr>
              <w:pStyle w:val="Default"/>
              <w:rPr>
                <w:rFonts w:ascii="Arial" w:hAnsi="Arial" w:cs="Arial"/>
                <w:sz w:val="22"/>
                <w:szCs w:val="22"/>
              </w:rPr>
            </w:pPr>
            <w:r>
              <w:rPr>
                <w:rFonts w:ascii="Arial" w:hAnsi="Arial" w:cs="Arial"/>
                <w:sz w:val="22"/>
                <w:szCs w:val="22"/>
              </w:rPr>
              <w:t xml:space="preserve">4hs. </w:t>
            </w:r>
          </w:p>
        </w:tc>
      </w:tr>
    </w:tbl>
    <w:p w:rsidR="002100C0" w:rsidRDefault="002100C0"/>
    <w:sectPr w:rsidR="002100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E9"/>
    <w:rsid w:val="002100C0"/>
    <w:rsid w:val="00562EE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0A85F-B27A-4439-A0B2-D9D57999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62EE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1700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G.A.</dc:creator>
  <cp:keywords/>
  <dc:description/>
  <cp:lastModifiedBy>FERNANDA G.A.</cp:lastModifiedBy>
  <cp:revision>1</cp:revision>
  <dcterms:created xsi:type="dcterms:W3CDTF">2019-02-26T14:00:00Z</dcterms:created>
  <dcterms:modified xsi:type="dcterms:W3CDTF">2019-02-26T14:00:00Z</dcterms:modified>
</cp:coreProperties>
</file>